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Pr="00B5592E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60BE2BF5" w:rsidR="0000218B" w:rsidRPr="00C05523" w:rsidRDefault="00293EF4" w:rsidP="003161A7">
            <w:pPr>
              <w:rPr>
                <w:highlight w:val="yellow"/>
              </w:rPr>
            </w:pPr>
            <w:r>
              <w:t>145003</w:t>
            </w:r>
            <w:r w:rsidR="002762F5" w:rsidRPr="00465C22">
              <w:t>/202</w:t>
            </w:r>
            <w:r w:rsidR="003161A7" w:rsidRPr="00465C22">
              <w:t>1</w:t>
            </w:r>
            <w:r w:rsidR="002762F5" w:rsidRPr="00465C22">
              <w:t>-SŽ-GŘ-O8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184AFF27" w:rsidR="0000218B" w:rsidRPr="00B5592E" w:rsidRDefault="00465C22" w:rsidP="0077673A">
            <w:r>
              <w:t>4/4</w:t>
            </w:r>
          </w:p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Pr="00B5592E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4EE158B6" w:rsidR="0000218B" w:rsidRPr="00B5592E" w:rsidRDefault="00D50AD2" w:rsidP="00A65578">
            <w:pPr>
              <w:ind w:left="0"/>
            </w:pPr>
            <w:r w:rsidRPr="00B5592E">
              <w:t xml:space="preserve">            Veronika Herdová, DiS.</w:t>
            </w:r>
          </w:p>
        </w:tc>
        <w:tc>
          <w:tcPr>
            <w:tcW w:w="823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Pr="00C9119E" w:rsidRDefault="0000218B" w:rsidP="009A7568">
            <w:r w:rsidRPr="00C9119E"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Pr="00C9119E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216A26D1" w:rsidR="009A7568" w:rsidRPr="00C9119E" w:rsidRDefault="00C9119E" w:rsidP="009A7568">
            <w:r w:rsidRPr="00C9119E">
              <w:t>2. 9</w:t>
            </w:r>
            <w:r w:rsidR="001966DA" w:rsidRPr="00C9119E">
              <w:t>. 2021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670651E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293EF4">
        <w:rPr>
          <w:b/>
        </w:rPr>
        <w:t>rozvoj SAP  - kategorie 5</w:t>
      </w:r>
      <w:r w:rsidR="00D50AD2">
        <w:rPr>
          <w:b/>
        </w:rPr>
        <w:t xml:space="preserve"> </w:t>
      </w:r>
      <w:r w:rsidR="001504B6">
        <w:rPr>
          <w:b/>
        </w:rPr>
        <w:t>–</w:t>
      </w:r>
      <w:r w:rsidR="00D50AD2">
        <w:rPr>
          <w:b/>
        </w:rPr>
        <w:t xml:space="preserve"> </w:t>
      </w:r>
      <w:r w:rsidR="00293EF4">
        <w:rPr>
          <w:b/>
        </w:rPr>
        <w:t>Datový sklad a manažerský reporting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65DC556B" w:rsidR="0028055F" w:rsidRDefault="00214C05" w:rsidP="0028055F">
      <w:pPr>
        <w:pStyle w:val="Oslovenvdopisu"/>
      </w:pPr>
      <w:r>
        <w:t>dodavatele zařazené do DNS</w:t>
      </w:r>
      <w:r w:rsidR="00293EF4">
        <w:t xml:space="preserve"> do kategorie 5</w:t>
      </w:r>
      <w:r w:rsidR="00D50AD2">
        <w:t xml:space="preserve"> </w:t>
      </w:r>
      <w:r w:rsidR="005819E4">
        <w:t>–</w:t>
      </w:r>
      <w:r w:rsidR="00AC3B69">
        <w:t xml:space="preserve"> </w:t>
      </w:r>
      <w:r w:rsidR="00293EF4">
        <w:t>Datový sklad a manažerský reporting</w:t>
      </w:r>
      <w:r w:rsidR="00AC3B69"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7E9DCE80" w:rsidR="0028055F" w:rsidRPr="001504B6" w:rsidRDefault="00554EA0" w:rsidP="006B2330">
      <w:pPr>
        <w:pStyle w:val="Oslovenvdopisu"/>
        <w:jc w:val="center"/>
      </w:pPr>
      <w:r w:rsidRPr="001504B6">
        <w:t xml:space="preserve"> „</w:t>
      </w:r>
      <w:r w:rsidR="00293EF4" w:rsidRPr="00293EF4">
        <w:rPr>
          <w:rFonts w:ascii="Verdana" w:eastAsia="Verdana" w:hAnsi="Verdana" w:cs="Verdana"/>
          <w:b/>
          <w:color w:val="000000"/>
        </w:rPr>
        <w:t>Náklady a výnosy v reportingu REM</w:t>
      </w:r>
      <w:r w:rsidRPr="001504B6">
        <w:rPr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Default="002E5F71" w:rsidP="00903106">
      <w:pPr>
        <w:spacing w:line="360" w:lineRule="auto"/>
      </w:pPr>
      <w:r>
        <w:t>Předpokládaná hodnota VZ:</w:t>
      </w:r>
      <w:r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3336A442" w14:textId="77777777" w:rsidR="00293EF4" w:rsidRPr="00293EF4" w:rsidRDefault="002E5F71" w:rsidP="00293EF4">
      <w:pPr>
        <w:pStyle w:val="Nadpis2"/>
        <w:rPr>
          <w:b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r w:rsidR="00EC0DAD" w:rsidRPr="00C05523">
        <w:rPr>
          <w:b/>
        </w:rPr>
        <w:t xml:space="preserve"> </w:t>
      </w:r>
      <w:bookmarkEnd w:id="0"/>
      <w:r w:rsidR="00293EF4" w:rsidRPr="00293EF4">
        <w:rPr>
          <w:rFonts w:ascii="Verdana" w:eastAsia="Verdana" w:hAnsi="Verdana" w:cs="Verdana"/>
          <w:color w:val="000000"/>
        </w:rPr>
        <w:t>implementace řešení v BW4 pro konsolidaci prezentovaných nákladů a výnosů do logických celků - skupin a následné zobrazení těchto skupin včetně hodnot v již vytvořených reportech v SAC. Součástí plnění je i řešení pro údržbu logických celků - skupin včetně časového hlediska.</w:t>
      </w:r>
    </w:p>
    <w:p w14:paraId="1844E4DF" w14:textId="1423F4B3" w:rsidR="00AC3B69" w:rsidRPr="00293EF4" w:rsidRDefault="00293EF4" w:rsidP="00293EF4">
      <w:pPr>
        <w:pStyle w:val="Nadpis2"/>
        <w:rPr>
          <w:b/>
        </w:rPr>
      </w:pPr>
      <w:r w:rsidRPr="00293EF4">
        <w:rPr>
          <w:rFonts w:ascii="Verdana" w:eastAsia="Verdana" w:hAnsi="Verdana" w:cs="Verdana"/>
          <w:b/>
          <w:color w:val="000000"/>
        </w:rPr>
        <w:t>Přehled skupin a přiřazení výnosových a nákladových účtů je uveden v příloze 4.a této Výzvy.</w:t>
      </w:r>
    </w:p>
    <w:p w14:paraId="0F0D47EE" w14:textId="10748C3D" w:rsidR="0028055F" w:rsidRDefault="006B2330" w:rsidP="001C196B">
      <w:pPr>
        <w:pStyle w:val="Nadpis1"/>
      </w:pPr>
      <w:r>
        <w:lastRenderedPageBreak/>
        <w:t>P</w:t>
      </w:r>
      <w:r w:rsidR="0028055F">
        <w:t>ředpokládaná hodnota veřejné zakázky</w:t>
      </w:r>
    </w:p>
    <w:p w14:paraId="63B38FD8" w14:textId="42819FCC" w:rsidR="0028055F" w:rsidRPr="00725EB7" w:rsidRDefault="00BF7007" w:rsidP="002E5F71">
      <w:pPr>
        <w:pStyle w:val="Nadpis4"/>
      </w:pPr>
      <w:r>
        <w:t>Zadavatel předpokládanou hodnotu veřejné zakázky nezveřejňuje.</w:t>
      </w:r>
    </w:p>
    <w:p w14:paraId="15D74D38" w14:textId="7DE4E360" w:rsidR="00FB10E8" w:rsidRPr="00FB10E8" w:rsidRDefault="0028055F" w:rsidP="00C9119E">
      <w:pPr>
        <w:pStyle w:val="Nadpis1"/>
      </w:pPr>
      <w:r>
        <w:t>Doba a místo plnění veřejné zakázky</w:t>
      </w:r>
    </w:p>
    <w:p w14:paraId="7DC15A04" w14:textId="1D863B0C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1966DA">
        <w:t>é smlouvy</w:t>
      </w:r>
      <w:r w:rsidRPr="00BF7007">
        <w:tab/>
      </w:r>
    </w:p>
    <w:p w14:paraId="7DA753BF" w14:textId="545E013B" w:rsidR="00BF7007" w:rsidRPr="00BF7007" w:rsidRDefault="00EC0DAD" w:rsidP="00BF7007">
      <w:pPr>
        <w:pStyle w:val="Nadpis2"/>
      </w:pPr>
      <w:r>
        <w:t>Termín ukončení plnění:</w:t>
      </w:r>
      <w:r>
        <w:tab/>
        <w:t xml:space="preserve">do </w:t>
      </w:r>
      <w:r w:rsidR="00293EF4">
        <w:t>3</w:t>
      </w:r>
      <w:r w:rsidR="001966DA">
        <w:t>0 dní od účinnosti rozvojové smlouvy</w:t>
      </w:r>
      <w:r w:rsidR="00BF7007" w:rsidRPr="00BF7007">
        <w:tab/>
      </w:r>
    </w:p>
    <w:p w14:paraId="1744AFD0" w14:textId="3E05B5E4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1" w:name="_Toc59538672"/>
      <w:r>
        <w:t>Sociálně a environmentálně odpovědné zadávání, inovace</w:t>
      </w:r>
      <w:bookmarkEnd w:id="1"/>
    </w:p>
    <w:p w14:paraId="57CC3787" w14:textId="77777777" w:rsidR="00DF590C" w:rsidRPr="00920E4D" w:rsidRDefault="00DF590C" w:rsidP="00DF590C">
      <w:pPr>
        <w:pStyle w:val="Nadpis2"/>
      </w:pPr>
      <w:r w:rsidRPr="00920E4D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920E4D" w:rsidRDefault="00DF590C" w:rsidP="00DF590C">
      <w:pPr>
        <w:pStyle w:val="Nadpis2"/>
      </w:pPr>
      <w:r w:rsidRPr="00920E4D">
        <w:t xml:space="preserve">Zadavatel aplikuje v zadávacím řízení níže uvedené prvky odpovědného zadávání: </w:t>
      </w:r>
    </w:p>
    <w:p w14:paraId="1CEEF956" w14:textId="77777777" w:rsidR="00DF590C" w:rsidRPr="00920E4D" w:rsidRDefault="00DF590C" w:rsidP="00836BA2">
      <w:pPr>
        <w:pStyle w:val="Nadpis3"/>
      </w:pPr>
      <w:r w:rsidRPr="00920E4D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920E4D" w:rsidRDefault="00DF590C" w:rsidP="00DF590C">
      <w:pPr>
        <w:pStyle w:val="Nadpis2"/>
      </w:pPr>
      <w:r w:rsidRPr="00920E4D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920E4D" w:rsidRDefault="00DF590C" w:rsidP="00836BA2">
      <w:pPr>
        <w:pStyle w:val="Nadpis3"/>
      </w:pPr>
      <w:r w:rsidRPr="00920E4D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920E4D" w:rsidRDefault="00DF590C" w:rsidP="00836BA2">
      <w:pPr>
        <w:pStyle w:val="Nadpis3"/>
      </w:pPr>
      <w:r w:rsidRPr="00920E4D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EBB8F2B" w:rsidR="00803E67" w:rsidRPr="00920E4D" w:rsidRDefault="00DF590C" w:rsidP="00FC424D">
      <w:pPr>
        <w:pStyle w:val="Nadpis3"/>
        <w:ind w:left="578" w:hanging="578"/>
      </w:pPr>
      <w:r w:rsidRPr="00920E4D">
        <w:t>V oblasti inovací zadavatel nestanovil dílčí kritéria odpovědného zadávání, jelikož předmětem plnění je samo inovativní řešení pro naplnění účelu této veřejné zakázky tak, jak je uveden v příloze č. 4 a. Výzvy.</w:t>
      </w:r>
      <w:r w:rsidR="00FC424D" w:rsidRPr="00920E4D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lastRenderedPageBreak/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r w:rsidR="00FB10E8" w:rsidRPr="00CA0F88">
        <w:t xml:space="preserve">této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lastRenderedPageBreak/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>Požad</w:t>
      </w:r>
      <w:bookmarkStart w:id="2" w:name="_GoBack"/>
      <w:bookmarkEnd w:id="2"/>
      <w:r>
        <w:t xml:space="preserve">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lastRenderedPageBreak/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</w:t>
      </w:r>
      <w:r w:rsidR="00D362AF">
        <w:lastRenderedPageBreak/>
        <w:t xml:space="preserve">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>adavatel jednající s řádnou péčí nemohl předvídat a a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64BBF10D" w14:textId="30E7F6A7" w:rsidR="00C05523" w:rsidRPr="006C2E49" w:rsidRDefault="0028055F" w:rsidP="00836BA2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2AD6F73" w14:textId="77777777" w:rsidR="00C9119E" w:rsidRDefault="00C9119E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D0874" w14:textId="77777777" w:rsidR="00727F6C" w:rsidRDefault="00727F6C" w:rsidP="00962258">
      <w:pPr>
        <w:spacing w:line="240" w:lineRule="auto"/>
      </w:pPr>
      <w:r>
        <w:separator/>
      </w:r>
    </w:p>
  </w:endnote>
  <w:endnote w:type="continuationSeparator" w:id="0">
    <w:p w14:paraId="65A599E6" w14:textId="77777777" w:rsidR="00727F6C" w:rsidRDefault="00727F6C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D6F0" w14:textId="77777777" w:rsidR="005C655D" w:rsidRDefault="005C6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10C356E5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119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119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42ECBFDF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11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119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5AFD1" w14:textId="77777777" w:rsidR="00727F6C" w:rsidRDefault="00727F6C" w:rsidP="00962258">
      <w:pPr>
        <w:spacing w:line="240" w:lineRule="auto"/>
      </w:pPr>
      <w:r>
        <w:separator/>
      </w:r>
    </w:p>
  </w:footnote>
  <w:footnote w:type="continuationSeparator" w:id="0">
    <w:p w14:paraId="6FCCE804" w14:textId="77777777" w:rsidR="00727F6C" w:rsidRDefault="00727F6C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068D" w14:textId="77777777" w:rsidR="005C655D" w:rsidRDefault="005C6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5"/>
  </w:num>
  <w:num w:numId="5">
    <w:abstractNumId w:val="7"/>
  </w:num>
  <w:num w:numId="6">
    <w:abstractNumId w:val="5"/>
  </w:num>
  <w:num w:numId="7">
    <w:abstractNumId w:val="5"/>
  </w:num>
  <w:num w:numId="8">
    <w:abstractNumId w:val="1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80F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1DFD4-21E9-4321-B785-68F5BB4E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3098</Words>
  <Characters>18281</Characters>
  <Application>Microsoft Office Word</Application>
  <DocSecurity>0</DocSecurity>
  <Lines>152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3</cp:revision>
  <cp:lastPrinted>2021-05-11T13:01:00Z</cp:lastPrinted>
  <dcterms:created xsi:type="dcterms:W3CDTF">2021-09-02T09:11:00Z</dcterms:created>
  <dcterms:modified xsi:type="dcterms:W3CDTF">2021-09-02T12:55:00Z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